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308" w:rsidRPr="00CA3308" w:rsidRDefault="00CA3308" w:rsidP="00CA3308">
      <w:pPr>
        <w:widowControl/>
        <w:shd w:val="clear" w:color="auto" w:fill="FFFFFF"/>
        <w:jc w:val="center"/>
        <w:outlineLvl w:val="2"/>
        <w:rPr>
          <w:rFonts w:ascii="微软雅黑" w:eastAsia="微软雅黑" w:hAnsi="微软雅黑" w:cs="宋体"/>
          <w:b/>
          <w:bCs/>
          <w:color w:val="333333"/>
          <w:kern w:val="0"/>
          <w:sz w:val="36"/>
          <w:szCs w:val="36"/>
        </w:rPr>
      </w:pPr>
      <w:bookmarkStart w:id="0" w:name="_GoBack"/>
      <w:r w:rsidRPr="00CA3308">
        <w:rPr>
          <w:rFonts w:ascii="微软雅黑" w:eastAsia="微软雅黑" w:hAnsi="微软雅黑" w:cs="宋体" w:hint="eastAsia"/>
          <w:b/>
          <w:bCs/>
          <w:color w:val="333333"/>
          <w:kern w:val="0"/>
          <w:sz w:val="36"/>
          <w:szCs w:val="36"/>
        </w:rPr>
        <w:t>《河南大学本科生毕业论文查重检测管理办法》（</w:t>
      </w:r>
      <w:proofErr w:type="gramStart"/>
      <w:r w:rsidRPr="00CA3308">
        <w:rPr>
          <w:rFonts w:ascii="微软雅黑" w:eastAsia="微软雅黑" w:hAnsi="微软雅黑" w:cs="宋体" w:hint="eastAsia"/>
          <w:b/>
          <w:bCs/>
          <w:color w:val="333333"/>
          <w:kern w:val="0"/>
          <w:sz w:val="36"/>
          <w:szCs w:val="36"/>
        </w:rPr>
        <w:t>校发〔2018〕</w:t>
      </w:r>
      <w:proofErr w:type="gramEnd"/>
      <w:r w:rsidRPr="00CA3308">
        <w:rPr>
          <w:rFonts w:ascii="微软雅黑" w:eastAsia="微软雅黑" w:hAnsi="微软雅黑" w:cs="宋体" w:hint="eastAsia"/>
          <w:b/>
          <w:bCs/>
          <w:color w:val="333333"/>
          <w:kern w:val="0"/>
          <w:sz w:val="36"/>
          <w:szCs w:val="36"/>
        </w:rPr>
        <w:t>318号）</w:t>
      </w:r>
    </w:p>
    <w:bookmarkEnd w:id="0"/>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第一章 总 则</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第一条 为进一步加强大学生学风和学术道德建设，杜绝本科生毕业论文创作过程中的抄袭、非正常引用等学术不端现象，保证毕业论文的创作质量，根据《国务院教育督导委员会办公室关于对学位授予单位开展学位论文作假行为处理工作进行专项检查的通知》(国教督办函〔2014〕31号）等文件精神，结合我校实际情况，制定本办法。</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第二章 检测对象</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第二条 按照本科生培养方案和教学计划安排，以论文形式作为毕业创作成果的我校全日制普通本科生，在毕业答辩之前，每位学生的毕业论文均须进行论文查重检测。</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第三条 以设计作品或实物制作等形式为主要内容的毕业创作成果，暂不进行查重检测。</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第三章 检测要求</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第四条 我校本科生毕业论文查重检测采用我校购置的本科生毕业论文查重检测系统。学校为一级管理员账户，学院为二级管理员账户。</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第五条 论文格式应符合我校本科生毕业论文的撰写要求，以word文档形式提交论文电子版，每篇论文电子版命名格式为：学号-学生姓名-毕业论文名称。</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第六条 按照“学院全检、学校抽检”和“先全检、后抽检”的程序和要求，开展本科生毕业论文查重检测工作。</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第七条 各学院根据本院本科生毕业论文答辩工作计划和日程安排，提前两周对所有拟参加答辩的本科生毕业论文逐一进行重复率检测。</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lastRenderedPageBreak/>
        <w:t>第八条 教务处对各学院的查重结果进行审核，并按10%的比例对各学院本科生毕业论文进行复检。</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第四章 结果认定及处理</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第九条 根据论文查重检测数据结果中的“重复率”R值（R值指在学校当年购置的本科生毕业论文查重检测系统中的复写率与引用率之和），将本科生</w:t>
      </w:r>
      <w:proofErr w:type="gramStart"/>
      <w:r w:rsidRPr="00CA3308">
        <w:rPr>
          <w:rFonts w:ascii="微软雅黑" w:eastAsia="微软雅黑" w:hAnsi="微软雅黑" w:cs="宋体" w:hint="eastAsia"/>
          <w:color w:val="333333"/>
          <w:kern w:val="0"/>
          <w:szCs w:val="21"/>
        </w:rPr>
        <w:t>毕业论文查测结果</w:t>
      </w:r>
      <w:proofErr w:type="gramEnd"/>
      <w:r w:rsidRPr="00CA3308">
        <w:rPr>
          <w:rFonts w:ascii="微软雅黑" w:eastAsia="微软雅黑" w:hAnsi="微软雅黑" w:cs="宋体" w:hint="eastAsia"/>
          <w:color w:val="333333"/>
          <w:kern w:val="0"/>
          <w:szCs w:val="21"/>
        </w:rPr>
        <w:t>分为A、B、C三类，标准见下表：</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59"/>
        <w:gridCol w:w="4031"/>
      </w:tblGrid>
      <w:tr w:rsidR="00CA3308" w:rsidRPr="00CA3308" w:rsidTr="00CA3308">
        <w:tc>
          <w:tcPr>
            <w:tcW w:w="47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A3308" w:rsidRPr="00CA3308" w:rsidRDefault="00CA3308" w:rsidP="00CA3308">
            <w:pPr>
              <w:widowControl/>
              <w:spacing w:line="315" w:lineRule="atLeast"/>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论文检测重复率（R）</w:t>
            </w:r>
          </w:p>
        </w:tc>
        <w:tc>
          <w:tcPr>
            <w:tcW w:w="45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A3308" w:rsidRPr="00CA3308" w:rsidRDefault="00CA3308" w:rsidP="00CA3308">
            <w:pPr>
              <w:widowControl/>
              <w:spacing w:line="315" w:lineRule="atLeast"/>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检测结果类别</w:t>
            </w:r>
          </w:p>
        </w:tc>
      </w:tr>
      <w:tr w:rsidR="00CA3308" w:rsidRPr="00CA3308" w:rsidTr="00CA3308">
        <w:tc>
          <w:tcPr>
            <w:tcW w:w="47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A3308" w:rsidRPr="00CA3308" w:rsidRDefault="00CA3308" w:rsidP="00CA3308">
            <w:pPr>
              <w:widowControl/>
              <w:spacing w:line="315" w:lineRule="atLeast"/>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R＜20%</w:t>
            </w:r>
          </w:p>
        </w:tc>
        <w:tc>
          <w:tcPr>
            <w:tcW w:w="45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A3308" w:rsidRPr="00CA3308" w:rsidRDefault="00CA3308" w:rsidP="00CA3308">
            <w:pPr>
              <w:widowControl/>
              <w:spacing w:line="315" w:lineRule="atLeast"/>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A</w:t>
            </w:r>
          </w:p>
        </w:tc>
      </w:tr>
      <w:tr w:rsidR="00CA3308" w:rsidRPr="00CA3308" w:rsidTr="00CA3308">
        <w:tc>
          <w:tcPr>
            <w:tcW w:w="47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A3308" w:rsidRPr="00CA3308" w:rsidRDefault="00CA3308" w:rsidP="00CA3308">
            <w:pPr>
              <w:widowControl/>
              <w:spacing w:line="315" w:lineRule="atLeast"/>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20%≤R＜70%</w:t>
            </w:r>
          </w:p>
        </w:tc>
        <w:tc>
          <w:tcPr>
            <w:tcW w:w="45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A3308" w:rsidRPr="00CA3308" w:rsidRDefault="00CA3308" w:rsidP="00CA3308">
            <w:pPr>
              <w:widowControl/>
              <w:spacing w:line="315" w:lineRule="atLeast"/>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B</w:t>
            </w:r>
          </w:p>
        </w:tc>
      </w:tr>
      <w:tr w:rsidR="00CA3308" w:rsidRPr="00CA3308" w:rsidTr="00CA3308">
        <w:tc>
          <w:tcPr>
            <w:tcW w:w="47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A3308" w:rsidRPr="00CA3308" w:rsidRDefault="00CA3308" w:rsidP="00CA3308">
            <w:pPr>
              <w:widowControl/>
              <w:spacing w:line="315" w:lineRule="atLeast"/>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R≥70%</w:t>
            </w:r>
          </w:p>
        </w:tc>
        <w:tc>
          <w:tcPr>
            <w:tcW w:w="45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A3308" w:rsidRPr="00CA3308" w:rsidRDefault="00CA3308" w:rsidP="00CA3308">
            <w:pPr>
              <w:widowControl/>
              <w:spacing w:line="315" w:lineRule="atLeast"/>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C</w:t>
            </w:r>
          </w:p>
        </w:tc>
      </w:tr>
    </w:tbl>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第十条 依据论文查重检测结果类别，分别采取下列处理措施。</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A类：查重检测通过，学生可以参加学院统一组织的毕业论文答辩。</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B类：查重检测未通过，学生和指导教师须对毕业论文进行修改完善，并在答辩前一周内修改完毕。修改后的毕业论文须再次进行查重检测，检测通过后（R＜20%），学生方可参加学院统一组织的本届毕业生论文答辩。如果第二次查重检测仍未通过，学生不得参加学院统一组织的本届毕业生论文答辩，并按C类处理。</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C类：查重检测未通过，学生不得参加当年学院统一组织的毕业论文答辩，须另选题目进行毕业论文创作，并随下一届学生进行毕业论文查重检测及答辩。</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第十一条 毕业论文查重检测未通过者，学生不能获得毕业论文规定学分，不得参加毕业资格审查；指导教师不计相应的教学工作量或学时津贴。</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第五章 附 则</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lastRenderedPageBreak/>
        <w:t>第十二条 使用论文检测系统查重仅能查检和预防本科生毕业论文创作过程中出现的抄袭、非正常引用等学术不端行为，</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不能保证毕业论文的整体质量和水平。毕业论文的质量和水平须由指导老师、评阅教师和答辩委员会进行综合评定。</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第十三条 各学院（部）根据本办法制定本单位本科毕业论文查重检测管理办法实施细则。</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第十四条 本办法由教务处负责解释，自发布之日起施行。</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 </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                                       主办：教务处 督办：校长办公室</w:t>
      </w:r>
    </w:p>
    <w:p w:rsidR="00CA3308" w:rsidRPr="00CA3308" w:rsidRDefault="00CA3308" w:rsidP="00CA3308">
      <w:pPr>
        <w:widowControl/>
        <w:shd w:val="clear" w:color="auto" w:fill="FFFFFF"/>
        <w:spacing w:line="315" w:lineRule="atLeast"/>
        <w:ind w:firstLine="480"/>
        <w:jc w:val="left"/>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                                    河南大学校长办公室 2018年9月2日印发</w:t>
      </w:r>
    </w:p>
    <w:p w:rsidR="00CA3308" w:rsidRPr="00CA3308" w:rsidRDefault="00CA3308" w:rsidP="00CA3308">
      <w:pPr>
        <w:widowControl/>
        <w:shd w:val="clear" w:color="auto" w:fill="FFFFFF"/>
        <w:spacing w:line="315" w:lineRule="atLeast"/>
        <w:jc w:val="center"/>
        <w:rPr>
          <w:rFonts w:ascii="微软雅黑" w:eastAsia="微软雅黑" w:hAnsi="微软雅黑" w:cs="宋体" w:hint="eastAsia"/>
          <w:color w:val="333333"/>
          <w:kern w:val="0"/>
          <w:szCs w:val="21"/>
        </w:rPr>
      </w:pPr>
      <w:r w:rsidRPr="00CA3308">
        <w:rPr>
          <w:rFonts w:ascii="微软雅黑" w:eastAsia="微软雅黑" w:hAnsi="微软雅黑" w:cs="宋体" w:hint="eastAsia"/>
          <w:color w:val="333333"/>
          <w:kern w:val="0"/>
          <w:szCs w:val="21"/>
        </w:rPr>
        <w:t>                             </w:t>
      </w:r>
      <w:r w:rsidRPr="00CA3308">
        <w:rPr>
          <w:rFonts w:ascii="微软雅黑" w:eastAsia="微软雅黑" w:hAnsi="微软雅黑" w:cs="宋体"/>
          <w:noProof/>
          <w:color w:val="333333"/>
          <w:kern w:val="0"/>
          <w:szCs w:val="21"/>
        </w:rPr>
        <w:drawing>
          <wp:inline distT="0" distB="0" distL="0" distR="0">
            <wp:extent cx="1790700" cy="476250"/>
            <wp:effectExtent l="0" t="0" r="0" b="0"/>
            <wp:docPr id="1" name="图片 1" descr="https://phye.henu.edu.cn/__local/7/6B/B4/870E07AC90FC12816FAAE7159D2_D034302D_5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ye.henu.edu.cn/__local/7/6B/B4/870E07AC90FC12816FAAE7159D2_D034302D_5AF.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476250"/>
                    </a:xfrm>
                    <a:prstGeom prst="rect">
                      <a:avLst/>
                    </a:prstGeom>
                    <a:noFill/>
                    <a:ln>
                      <a:noFill/>
                    </a:ln>
                  </pic:spPr>
                </pic:pic>
              </a:graphicData>
            </a:graphic>
          </wp:inline>
        </w:drawing>
      </w:r>
    </w:p>
    <w:p w:rsidR="00544F5D" w:rsidRDefault="00544F5D"/>
    <w:sectPr w:rsidR="00544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81"/>
    <w:rsid w:val="00544F5D"/>
    <w:rsid w:val="00CA3308"/>
    <w:rsid w:val="00CB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83994-3254-4937-8BC4-4E68D1F1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CA330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3308"/>
    <w:rPr>
      <w:rFonts w:ascii="宋体" w:eastAsia="宋体" w:hAnsi="宋体" w:cs="宋体"/>
      <w:b/>
      <w:bCs/>
      <w:kern w:val="0"/>
      <w:sz w:val="27"/>
      <w:szCs w:val="27"/>
    </w:rPr>
  </w:style>
  <w:style w:type="paragraph" w:customStyle="1" w:styleId="vsbcontentstart">
    <w:name w:val="vsbcontent_start"/>
    <w:basedOn w:val="a"/>
    <w:rsid w:val="00CA330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A3308"/>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CA3308"/>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CA33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0981">
      <w:bodyDiv w:val="1"/>
      <w:marLeft w:val="0"/>
      <w:marRight w:val="0"/>
      <w:marTop w:val="0"/>
      <w:marBottom w:val="0"/>
      <w:divBdr>
        <w:top w:val="none" w:sz="0" w:space="0" w:color="auto"/>
        <w:left w:val="none" w:sz="0" w:space="0" w:color="auto"/>
        <w:bottom w:val="none" w:sz="0" w:space="0" w:color="auto"/>
        <w:right w:val="none" w:sz="0" w:space="0" w:color="auto"/>
      </w:divBdr>
      <w:divsChild>
        <w:div w:id="1956793287">
          <w:marLeft w:val="0"/>
          <w:marRight w:val="0"/>
          <w:marTop w:val="0"/>
          <w:marBottom w:val="0"/>
          <w:divBdr>
            <w:top w:val="none" w:sz="0" w:space="0" w:color="auto"/>
            <w:left w:val="none" w:sz="0" w:space="0" w:color="auto"/>
            <w:bottom w:val="none" w:sz="0" w:space="0" w:color="auto"/>
            <w:right w:val="none" w:sz="0" w:space="0" w:color="auto"/>
          </w:divBdr>
        </w:div>
        <w:div w:id="367147197">
          <w:marLeft w:val="0"/>
          <w:marRight w:val="0"/>
          <w:marTop w:val="0"/>
          <w:marBottom w:val="0"/>
          <w:divBdr>
            <w:top w:val="none" w:sz="0" w:space="0" w:color="auto"/>
            <w:left w:val="none" w:sz="0" w:space="0" w:color="auto"/>
            <w:bottom w:val="none" w:sz="0" w:space="0" w:color="auto"/>
            <w:right w:val="none" w:sz="0" w:space="0" w:color="auto"/>
          </w:divBdr>
          <w:divsChild>
            <w:div w:id="1781872601">
              <w:marLeft w:val="0"/>
              <w:marRight w:val="0"/>
              <w:marTop w:val="0"/>
              <w:marBottom w:val="0"/>
              <w:divBdr>
                <w:top w:val="none" w:sz="0" w:space="0" w:color="auto"/>
                <w:left w:val="none" w:sz="0" w:space="0" w:color="auto"/>
                <w:bottom w:val="none" w:sz="0" w:space="0" w:color="auto"/>
                <w:right w:val="none" w:sz="0" w:space="0" w:color="auto"/>
              </w:divBdr>
              <w:divsChild>
                <w:div w:id="17159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1226</Characters>
  <Application>Microsoft Office Word</Application>
  <DocSecurity>0</DocSecurity>
  <Lines>10</Lines>
  <Paragraphs>2</Paragraphs>
  <ScaleCrop>false</ScaleCrop>
  <Company>河南戏剧学院</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zhangxiangtao</dc:creator>
  <cp:keywords/>
  <dc:description/>
  <cp:lastModifiedBy>zhangxiangtao</cp:lastModifiedBy>
  <cp:revision>2</cp:revision>
  <dcterms:created xsi:type="dcterms:W3CDTF">2025-09-29T14:43:00Z</dcterms:created>
  <dcterms:modified xsi:type="dcterms:W3CDTF">2025-09-29T14:43:00Z</dcterms:modified>
</cp:coreProperties>
</file>